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C14" w:rsidRPr="00C10D17" w:rsidRDefault="00D30C14" w:rsidP="00D30C14">
      <w:pPr>
        <w:jc w:val="center"/>
        <w:rPr>
          <w:b/>
          <w:bCs/>
          <w:color w:val="333333"/>
          <w:lang w:val="tr-TR"/>
        </w:rPr>
      </w:pPr>
      <w:r w:rsidRPr="00C10D17">
        <w:rPr>
          <w:b/>
          <w:bCs/>
          <w:color w:val="333333"/>
          <w:lang w:val="tr-TR"/>
        </w:rPr>
        <w:t>KAR DAĞITIM POLİTİKASI</w:t>
      </w:r>
    </w:p>
    <w:p w:rsidR="00D30C14" w:rsidRPr="00C10D17" w:rsidRDefault="00D30C14" w:rsidP="00D30C14">
      <w:pPr>
        <w:pStyle w:val="Default"/>
        <w:spacing w:line="276" w:lineRule="auto"/>
        <w:ind w:firstLine="720"/>
        <w:jc w:val="both"/>
        <w:rPr>
          <w:rFonts w:asciiTheme="minorHAnsi" w:hAnsiTheme="minorHAnsi" w:cstheme="minorHAnsi"/>
          <w:sz w:val="22"/>
          <w:szCs w:val="22"/>
          <w:lang w:val="tr-TR"/>
        </w:rPr>
      </w:pPr>
      <w:r w:rsidRPr="00C10D17">
        <w:rPr>
          <w:rFonts w:asciiTheme="minorHAnsi" w:hAnsiTheme="minorHAnsi" w:cstheme="minorHAnsi"/>
          <w:sz w:val="22"/>
          <w:szCs w:val="22"/>
          <w:lang w:val="tr-TR"/>
        </w:rPr>
        <w:t>Şirketimiz</w:t>
      </w:r>
      <w:r>
        <w:rPr>
          <w:rFonts w:asciiTheme="minorHAnsi" w:hAnsiTheme="minorHAnsi" w:cstheme="minorHAnsi"/>
          <w:sz w:val="22"/>
          <w:szCs w:val="22"/>
          <w:lang w:val="tr-TR"/>
        </w:rPr>
        <w:t xml:space="preserve"> </w:t>
      </w:r>
      <w:r>
        <w:rPr>
          <w:rFonts w:asciiTheme="minorHAnsi" w:hAnsiTheme="minorHAnsi" w:cstheme="minorHAnsi"/>
          <w:sz w:val="22"/>
          <w:szCs w:val="22"/>
          <w:lang w:val="tr-TR"/>
        </w:rPr>
        <w:t xml:space="preserve">Tarım Kredi Et Ürünleri </w:t>
      </w:r>
      <w:r w:rsidRPr="00C10D17">
        <w:rPr>
          <w:rFonts w:asciiTheme="minorHAnsi" w:hAnsiTheme="minorHAnsi" w:cstheme="minorHAnsi"/>
          <w:sz w:val="22"/>
          <w:szCs w:val="22"/>
          <w:lang w:val="tr-TR"/>
        </w:rPr>
        <w:t>A.Ş Türk Ticaret Kanunu hükümleri, Sermaye Piyasası Mevzuatı, Vergi Mevzuatı ve diğer ilgili düzenlemeler ile Esas Sözleşmemizin kâr dağıtım ile ilgili maddesi çerçevesinde kâr dağıtımı yapmaktadır.</w:t>
      </w:r>
      <w:r w:rsidRPr="00C10D17">
        <w:rPr>
          <w:lang w:val="tr-TR"/>
        </w:rPr>
        <w:t xml:space="preserve"> </w:t>
      </w:r>
      <w:r w:rsidRPr="00C10D17">
        <w:rPr>
          <w:rFonts w:asciiTheme="minorHAnsi" w:hAnsiTheme="minorHAnsi" w:cstheme="minorHAnsi"/>
          <w:sz w:val="22"/>
          <w:szCs w:val="22"/>
          <w:lang w:val="tr-TR"/>
        </w:rPr>
        <w:t>Kâr dağıtımında, Kurumsal Yönetim İlkeleri’ne uygun olarak pay sahipleri ve Şirket menfaatleri arasında dengeli ve tutarlı bir politika izlenmektedir.</w:t>
      </w:r>
    </w:p>
    <w:p w:rsidR="00D30C14" w:rsidRPr="00C10D17" w:rsidRDefault="00D30C14" w:rsidP="00D30C14">
      <w:pPr>
        <w:pStyle w:val="Default"/>
        <w:spacing w:line="276" w:lineRule="auto"/>
        <w:ind w:firstLine="720"/>
        <w:jc w:val="both"/>
        <w:rPr>
          <w:rFonts w:asciiTheme="minorHAnsi" w:hAnsiTheme="minorHAnsi" w:cstheme="minorHAnsi"/>
          <w:sz w:val="22"/>
          <w:szCs w:val="22"/>
          <w:lang w:val="tr-TR"/>
        </w:rPr>
      </w:pPr>
    </w:p>
    <w:p w:rsidR="00D30C14" w:rsidRPr="00C10D17" w:rsidRDefault="00D30C14" w:rsidP="00D30C14">
      <w:pPr>
        <w:pStyle w:val="Default"/>
        <w:spacing w:line="276" w:lineRule="auto"/>
        <w:ind w:firstLine="720"/>
        <w:jc w:val="both"/>
        <w:rPr>
          <w:rFonts w:asciiTheme="minorHAnsi" w:hAnsiTheme="minorHAnsi" w:cstheme="minorHAnsi"/>
          <w:sz w:val="22"/>
          <w:szCs w:val="22"/>
          <w:lang w:val="tr-TR"/>
        </w:rPr>
      </w:pPr>
      <w:r w:rsidRPr="00C10D17">
        <w:rPr>
          <w:rFonts w:asciiTheme="minorHAnsi" w:hAnsiTheme="minorHAnsi" w:cstheme="minorHAnsi"/>
          <w:sz w:val="22"/>
          <w:szCs w:val="22"/>
          <w:lang w:val="tr-TR"/>
        </w:rPr>
        <w:t>Mevcut yasal düzenlemeler kapsamında hazırlanmış olan finansal tablolarımızda yer alan dönem kârı esas alınarak hesaplanan dağıtılabilir kâr tutarı üzerinden yasalarla belirlenen genel yedek akçeler ayrıldıktan sonra bu konudaki mevzuat ve esas sözleşme hükümleri ile şirketimizin uzun ve kısa vadeli şirket stratejileri, yatırım ve finansman politikaları, piyasa değeri, nakit akımları ve ekonomik gelişmeler dikkate alınarak hesaplanacak kâr payı tutarı, Sermaye Piyasası Kurulu’nun düzenlemeleri çerçevesinde Yönetim Kurulu tarafından hazırlanacak kâr dağıtımı önerisi ile Genel Kurul’un onayına sunulmaktadır. (Dağıtılacak kâr bakımından ortaklar ve kâra katılan diğer kişiler için belirlenen kâr payı dağıtım oranı belirlenmesi gerekmektedir.</w:t>
      </w:r>
      <w:r w:rsidRPr="00C10D17">
        <w:rPr>
          <w:lang w:val="tr-TR"/>
        </w:rPr>
        <w:t xml:space="preserve"> </w:t>
      </w:r>
      <w:r w:rsidRPr="00C10D17">
        <w:rPr>
          <w:rFonts w:asciiTheme="minorHAnsi" w:hAnsiTheme="minorHAnsi" w:cstheme="minorHAnsi"/>
          <w:sz w:val="22"/>
          <w:szCs w:val="22"/>
          <w:lang w:val="tr-TR"/>
        </w:rPr>
        <w:t>Payları borsada işlem görmeyen ortaklıklar için kâr payı dağıtım oranı, bağışlar eklenmiş net dağıtılabilir dönem kârının yüzde yirmisinden az ola</w:t>
      </w:r>
      <w:r>
        <w:rPr>
          <w:rFonts w:asciiTheme="minorHAnsi" w:hAnsiTheme="minorHAnsi" w:cstheme="minorHAnsi"/>
          <w:sz w:val="22"/>
          <w:szCs w:val="22"/>
          <w:lang w:val="tr-TR"/>
        </w:rPr>
        <w:t>mayacaktır</w:t>
      </w:r>
      <w:r w:rsidRPr="00C10D17">
        <w:rPr>
          <w:rFonts w:asciiTheme="minorHAnsi" w:hAnsiTheme="minorHAnsi" w:cstheme="minorHAnsi"/>
          <w:sz w:val="22"/>
          <w:szCs w:val="22"/>
          <w:lang w:val="tr-TR"/>
        </w:rPr>
        <w:t xml:space="preserve">.) </w:t>
      </w:r>
      <w:r>
        <w:rPr>
          <w:rFonts w:asciiTheme="minorHAnsi" w:hAnsiTheme="minorHAnsi" w:cstheme="minorHAnsi"/>
          <w:sz w:val="22"/>
          <w:szCs w:val="22"/>
          <w:lang w:val="tr-TR"/>
        </w:rPr>
        <w:t xml:space="preserve"> </w:t>
      </w:r>
    </w:p>
    <w:p w:rsidR="00D30C14" w:rsidRPr="00C10D17" w:rsidRDefault="00D30C14" w:rsidP="00D30C14">
      <w:pPr>
        <w:pStyle w:val="Default"/>
        <w:spacing w:line="276" w:lineRule="auto"/>
        <w:ind w:firstLine="720"/>
        <w:jc w:val="both"/>
        <w:rPr>
          <w:rFonts w:asciiTheme="minorHAnsi" w:hAnsiTheme="minorHAnsi" w:cstheme="minorHAnsi"/>
          <w:sz w:val="22"/>
          <w:szCs w:val="22"/>
          <w:lang w:val="tr-TR"/>
        </w:rPr>
      </w:pPr>
    </w:p>
    <w:p w:rsidR="00D30C14" w:rsidRPr="00C10D17" w:rsidRDefault="00D30C14" w:rsidP="00D30C14">
      <w:pPr>
        <w:pStyle w:val="Default"/>
        <w:spacing w:line="276" w:lineRule="auto"/>
        <w:ind w:firstLine="720"/>
        <w:jc w:val="both"/>
        <w:rPr>
          <w:rFonts w:asciiTheme="minorHAnsi" w:hAnsiTheme="minorHAnsi" w:cstheme="minorHAnsi"/>
          <w:sz w:val="22"/>
          <w:szCs w:val="22"/>
          <w:lang w:val="tr-TR"/>
        </w:rPr>
      </w:pPr>
      <w:r w:rsidRPr="00C10D17">
        <w:rPr>
          <w:rFonts w:asciiTheme="minorHAnsi" w:hAnsiTheme="minorHAnsi" w:cstheme="minorHAnsi"/>
          <w:sz w:val="22"/>
          <w:szCs w:val="22"/>
          <w:lang w:val="tr-TR"/>
        </w:rPr>
        <w:t>Genel Kurulumuzun kararları çerçevesinde nakden kar dağıtılabilir. Şirketimiz, şirket menfaatlerini de göz önünde bulundurarak kâr payı dağıtılmasını prensip olarak benimsemektedir.</w:t>
      </w:r>
      <w:r w:rsidRPr="00C10D17">
        <w:rPr>
          <w:lang w:val="tr-TR"/>
        </w:rPr>
        <w:t xml:space="preserve"> </w:t>
      </w:r>
      <w:r w:rsidRPr="00C10D17">
        <w:rPr>
          <w:rFonts w:asciiTheme="minorHAnsi" w:hAnsiTheme="minorHAnsi" w:cstheme="minorHAnsi"/>
          <w:sz w:val="22"/>
          <w:szCs w:val="22"/>
          <w:lang w:val="tr-TR"/>
        </w:rPr>
        <w:t>Kâr payı ödemeleri kâr payı kuponunun ortaklığa ibrazı karşılığında yapılır.</w:t>
      </w:r>
    </w:p>
    <w:p w:rsidR="00D30C14" w:rsidRPr="00C10D17" w:rsidRDefault="00D30C14" w:rsidP="00D30C14">
      <w:pPr>
        <w:pStyle w:val="Default"/>
        <w:spacing w:line="276" w:lineRule="auto"/>
        <w:ind w:firstLine="720"/>
        <w:jc w:val="both"/>
        <w:rPr>
          <w:rFonts w:asciiTheme="minorHAnsi" w:hAnsiTheme="minorHAnsi" w:cstheme="minorHAnsi"/>
          <w:sz w:val="22"/>
          <w:szCs w:val="22"/>
          <w:lang w:val="tr-TR"/>
        </w:rPr>
      </w:pPr>
    </w:p>
    <w:p w:rsidR="00D30C14" w:rsidRDefault="00D30C14" w:rsidP="00D30C14">
      <w:pPr>
        <w:spacing w:line="276" w:lineRule="auto"/>
        <w:ind w:firstLine="720"/>
        <w:jc w:val="both"/>
        <w:rPr>
          <w:rFonts w:cstheme="minorHAnsi"/>
          <w:lang w:val="tr-TR"/>
        </w:rPr>
      </w:pPr>
      <w:r w:rsidRPr="00C10D17">
        <w:rPr>
          <w:rFonts w:cstheme="minorHAnsi"/>
          <w:lang w:val="tr-TR"/>
        </w:rPr>
        <w:t xml:space="preserve">Kâr payının hangi tarihlerde ve ne şekilde dağıtılacağı esas sözleşmenin ilgili maddesine göre Yönetim Kurulunun teklifi üzerine Genel Kurul tarafından kararlaştırılır. Genel kurul tarafından kâr payı dağıtılması kararı alındığı takdirde nakit kâr payı dağıtımı en geç kar dağıtımı kararının alındığı Genel Kurul toplantı tarihini takiben en geç iki ay içinde yapılması amaçlanmakta olup kar dağıtım tarihine Genel Kurul karar vermektedir. </w:t>
      </w:r>
    </w:p>
    <w:p w:rsidR="00D30C14" w:rsidRPr="00C10D17" w:rsidRDefault="00D30C14" w:rsidP="00D30C14">
      <w:pPr>
        <w:spacing w:line="276" w:lineRule="auto"/>
        <w:ind w:firstLine="720"/>
        <w:jc w:val="both"/>
        <w:rPr>
          <w:rFonts w:cstheme="minorHAnsi"/>
          <w:lang w:val="tr-TR"/>
        </w:rPr>
      </w:pPr>
      <w:r w:rsidRPr="00C10D17">
        <w:rPr>
          <w:rFonts w:cstheme="minorHAnsi"/>
          <w:lang w:val="tr-TR"/>
        </w:rPr>
        <w:t xml:space="preserve">Şirketimizin kâr dağıtımına ilişkin yönetim kurulu önerisi, şekli ve içeriği </w:t>
      </w:r>
      <w:r>
        <w:rPr>
          <w:rFonts w:cstheme="minorHAnsi"/>
          <w:lang w:val="tr-TR"/>
        </w:rPr>
        <w:t xml:space="preserve">Sermaye Piyasası Kurulu tarafından </w:t>
      </w:r>
      <w:r w:rsidRPr="00C10D17">
        <w:rPr>
          <w:rFonts w:cstheme="minorHAnsi"/>
          <w:lang w:val="tr-TR"/>
        </w:rPr>
        <w:t>belirlenen</w:t>
      </w:r>
      <w:r w:rsidRPr="00C10D17">
        <w:rPr>
          <w:rFonts w:ascii="Arial" w:hAnsi="Arial" w:cs="Arial"/>
          <w:color w:val="484848"/>
          <w:sz w:val="26"/>
          <w:szCs w:val="26"/>
          <w:shd w:val="clear" w:color="auto" w:fill="FFFFFF"/>
          <w:lang w:val="tr-TR"/>
        </w:rPr>
        <w:t xml:space="preserve"> </w:t>
      </w:r>
      <w:r w:rsidRPr="00C10D17">
        <w:rPr>
          <w:rFonts w:cstheme="minorHAnsi"/>
          <w:lang w:val="tr-TR"/>
        </w:rPr>
        <w:t xml:space="preserve">kâr dağıtım tablosu ile birlikte en geç olağan genel kurul gündeminin ilan edildiği tarihte, </w:t>
      </w:r>
      <w:r>
        <w:rPr>
          <w:rFonts w:cstheme="minorHAnsi"/>
          <w:lang w:val="tr-TR"/>
        </w:rPr>
        <w:t xml:space="preserve">Sermaye Piyasası Kurulu’nun </w:t>
      </w:r>
      <w:r w:rsidRPr="00C10D17">
        <w:rPr>
          <w:rFonts w:cstheme="minorHAnsi"/>
          <w:lang w:val="tr-TR"/>
        </w:rPr>
        <w:t xml:space="preserve">özel durumların kamuya açıklanmasına ilişkin düzenlemeleri çerçevesinde kamuya duyurulur ve </w:t>
      </w:r>
      <w:r>
        <w:rPr>
          <w:rFonts w:cstheme="minorHAnsi"/>
          <w:lang w:val="tr-TR"/>
        </w:rPr>
        <w:t>h</w:t>
      </w:r>
      <w:r>
        <w:rPr>
          <w:rFonts w:cstheme="minorHAnsi"/>
          <w:lang w:val="tr-TR"/>
        </w:rPr>
        <w:t xml:space="preserve">er </w:t>
      </w:r>
      <w:bookmarkStart w:id="0" w:name="_GoBack"/>
      <w:bookmarkEnd w:id="0"/>
      <w:r w:rsidRPr="00C10D17">
        <w:rPr>
          <w:rFonts w:cstheme="minorHAnsi"/>
          <w:lang w:val="tr-TR"/>
        </w:rPr>
        <w:t>ortaklığın internet sitesinde ilan edilir. Kâr dağıtım tablosu ayrıca ortaklık merkezinde pay sahiplerinin incelemesine açık tutulur</w:t>
      </w:r>
      <w:r>
        <w:rPr>
          <w:rFonts w:cstheme="minorHAnsi"/>
          <w:lang w:val="tr-TR"/>
        </w:rPr>
        <w:t>.</w:t>
      </w:r>
    </w:p>
    <w:p w:rsidR="00D30C14" w:rsidRDefault="00D30C14" w:rsidP="00D30C14">
      <w:pPr>
        <w:spacing w:line="276" w:lineRule="auto"/>
        <w:ind w:firstLine="720"/>
        <w:jc w:val="both"/>
        <w:rPr>
          <w:rFonts w:cstheme="minorHAnsi"/>
          <w:lang w:val="tr-TR"/>
        </w:rPr>
      </w:pPr>
      <w:r w:rsidRPr="00C10D17">
        <w:rPr>
          <w:rFonts w:cstheme="minorHAnsi"/>
          <w:lang w:val="tr-TR"/>
        </w:rPr>
        <w:t>Şirket Esas Sözleşmesi’ne göre; Yönetim Kurulu, Genel Kurul tarafından yetkilendirilmiş olmak ve Sermaye Piyasası Düzenlemelerine uymak kaydı ile kâr payı avansı dağıtabilir.</w:t>
      </w:r>
    </w:p>
    <w:p w:rsidR="00D30C14" w:rsidRPr="000C7527" w:rsidRDefault="00D30C14" w:rsidP="00D30C14">
      <w:pPr>
        <w:spacing w:line="276" w:lineRule="auto"/>
        <w:ind w:firstLine="720"/>
        <w:jc w:val="both"/>
        <w:rPr>
          <w:rFonts w:cstheme="minorHAnsi"/>
          <w:lang w:val="tr-TR"/>
        </w:rPr>
      </w:pPr>
    </w:p>
    <w:p w:rsidR="00D30C14" w:rsidRDefault="00D30C14"/>
    <w:sectPr w:rsidR="00D30C14" w:rsidSect="005869D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14"/>
    <w:rsid w:val="00D30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DB0F"/>
  <w15:chartTrackingRefBased/>
  <w15:docId w15:val="{E7B928DE-69F7-4E0C-8839-7461C926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C1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D30C14"/>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SÖNMEZ</dc:creator>
  <cp:keywords/>
  <dc:description/>
  <cp:lastModifiedBy>Ömer SÖNMEZ</cp:lastModifiedBy>
  <cp:revision>1</cp:revision>
  <dcterms:created xsi:type="dcterms:W3CDTF">2024-02-21T10:36:00Z</dcterms:created>
  <dcterms:modified xsi:type="dcterms:W3CDTF">2024-02-21T10:37:00Z</dcterms:modified>
</cp:coreProperties>
</file>